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bookmarkStart w:colFirst="0" w:colLast="0" w:name="_1pxezwc"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tabs>
          <w:tab w:val="left" w:leader="none" w:pos="1134"/>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gjdgxs"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Property"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System"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bookmarkStart w:colFirst="0" w:colLast="0" w:name="_30j0zll" w:id="2"/>
            <w:bookmarkEnd w:id="2"/>
            <w:r w:rsidDel="00000000" w:rsidR="00000000" w:rsidRPr="00000000">
              <w:rPr>
                <w:rFonts w:ascii="Arial" w:cs="Arial" w:eastAsia="Arial" w:hAnsi="Arial"/>
                <w:color w:val="000000"/>
                <w:sz w:val="24"/>
                <w:szCs w:val="24"/>
                <w:rtl w:val="0"/>
              </w:rPr>
              <w:t xml:space="preserve">“Commercial off the shelf Software” or “COTS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rHeight w:val="7499" w:hRule="atLeast"/>
          <w:tblHeader w:val="0"/>
        </w:trPr>
        <w:tc>
          <w:tcPr>
            <w:tcBorders>
              <w:top w:color="000000" w:space="0" w:sz="4" w:val="single"/>
              <w:left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"Defect"</w:t>
            </w:r>
          </w:p>
        </w:tc>
        <w:tc>
          <w:tcPr>
            <w:tcBorders>
              <w:top w:color="000000" w:space="0" w:sz="4" w:val="single"/>
              <w:left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24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damage or defect in the manufacturing of a Deliverable; or</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error or failure of code within the Software which causes a Deliverable to malfunction or to produce unintelligible or incorrect results; or</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"Emergency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"ICT Environment"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"Licensed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Schedule"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"Malicious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Release"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"Open Source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Environment"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24">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25">
            <w:pPr>
              <w:numPr>
                <w:ilvl w:val="1"/>
                <w:numId w:val="3"/>
              </w:numPr>
              <w:pBdr>
                <w:top w:space="0" w:sz="0" w:val="nil"/>
                <w:left w:space="0" w:sz="0" w:val="nil"/>
                <w:bottom w:space="0" w:sz="0" w:val="nil"/>
                <w:right w:space="0" w:sz="0" w:val="nil"/>
                <w:between w:space="0" w:sz="0" w:val="nil"/>
              </w:pBdr>
              <w:tabs>
                <w:tab w:val="left" w:leader="none" w:pos="144"/>
                <w:tab w:val="left" w:leader="none"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"Permitted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"Sites"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 COTS Software and non-COTS Supplier and third party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Supporting Materials"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9.1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"Source Code"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"Specially Written Software"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System"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6">
      <w:pPr>
        <w:keepNext w:val="1"/>
        <w:keepLines w:val="1"/>
        <w:numPr>
          <w:ilvl w:val="0"/>
          <w:numId w:val="2"/>
        </w:numPr>
        <w:pBdr>
          <w:top w:space="0" w:sz="0" w:val="nil"/>
          <w:left w:space="0" w:sz="0" w:val="nil"/>
          <w:bottom w:space="0" w:sz="0" w:val="nil"/>
          <w:right w:space="0" w:sz="0" w:val="nil"/>
          <w:between w:space="0" w:sz="0" w:val="nil"/>
        </w:pBdr>
        <w:tabs>
          <w:tab w:val="left" w:leader="none" w:pos="142"/>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7">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8">
      <w:pPr>
        <w:numPr>
          <w:ilvl w:val="0"/>
          <w:numId w:val="2"/>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leader="none" w:pos="3686"/>
          <w:tab w:val="left" w:leader="none"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1fob9te" w:id="3"/>
      <w:bookmarkEnd w:id="3"/>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represents and undertakes to the Buyer that all Deliverables will meet the Buyer’s acceptance criteria, as defined in each Statement of Work.</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undertakes to maintain all interface and interoperability between Third Party Software or services and Specially Written Software as required for the performance of the Services or delivery of any Deliverables.</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undertakes and warrants that it has or shall procure all consents, registrations, approvals, licences and permissions relating to Medical Devices as recommended or stipulated by any materials published by the Medicines and Healthcare Products Regulatory Agency.</w:t>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znysh7" w:id="4"/>
      <w:bookmarkEnd w:id="4"/>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2et92p0" w:id="5"/>
      <w:bookmarkEnd w:id="5"/>
      <w:r w:rsidDel="00000000" w:rsidR="00000000" w:rsidRPr="00000000">
        <w:rPr>
          <w:rFonts w:ascii="Arial" w:cs="Arial" w:eastAsia="Arial" w:hAnsi="Arial"/>
          <w:color w:val="000000"/>
          <w:sz w:val="24"/>
          <w:szCs w:val="24"/>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C">
      <w:pPr>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61">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tyjcwt" w:id="6"/>
      <w:bookmarkEnd w:id="6"/>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4">
      <w:pPr>
        <w:numPr>
          <w:ilvl w:val="1"/>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6">
      <w:pPr>
        <w:keepNext w:val="1"/>
        <w:numPr>
          <w:ilvl w:val="0"/>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in ICT</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3dy6vkm" w:id="7"/>
      <w:bookmarkEnd w:id="7"/>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1t3h5sf" w:id="8"/>
      <w:bookmarkEnd w:id="8"/>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4d34og8" w:id="9"/>
      <w:bookmarkEnd w:id="9"/>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2s8eyo1" w:id="10"/>
      <w:bookmarkEnd w:id="10"/>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17dp8vu" w:id="11"/>
      <w:bookmarkEnd w:id="11"/>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3rdcrjn" w:id="12"/>
      <w:bookmarkEnd w:id="12"/>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26in1rg" w:id="13"/>
      <w:bookmarkEnd w:id="13"/>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2">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3">
      <w:pPr>
        <w:numPr>
          <w:ilvl w:val="0"/>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lnxbz9" w:id="14"/>
      <w:bookmarkEnd w:id="14"/>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35nkun2" w:id="15"/>
      <w:bookmarkEnd w:id="15"/>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1ksv4uv" w:id="16"/>
      <w:bookmarkEnd w:id="16"/>
      <w:r w:rsidDel="00000000" w:rsidR="00000000" w:rsidRPr="00000000">
        <w:rPr>
          <w:rFonts w:ascii="Arial" w:cs="Arial" w:eastAsia="Arial" w:hAnsi="Arial"/>
          <w:b w:val="1"/>
          <w:color w:val="000000"/>
          <w:sz w:val="24"/>
          <w:szCs w:val="24"/>
          <w:rtl w:val="0"/>
        </w:rPr>
        <w:t xml:space="preserve">Licences for COTS Software by the Supplier and third parties to the Buyer</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44sinio" w:id="17"/>
      <w:bookmarkEnd w:id="17"/>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2jxsxqh" w:id="18"/>
      <w:bookmarkEnd w:id="18"/>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6">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hanging="576"/>
        <w:jc w:val="left"/>
        <w:rPr>
          <w:rFonts w:ascii="Arial" w:cs="Arial" w:eastAsia="Arial" w:hAnsi="Arial"/>
          <w:b w:val="1"/>
          <w:color w:val="000000"/>
          <w:sz w:val="24"/>
          <w:szCs w:val="24"/>
        </w:rPr>
      </w:pPr>
      <w:bookmarkStart w:colFirst="0" w:colLast="0" w:name="_z337ya" w:id="19"/>
      <w:bookmarkEnd w:id="19"/>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3j2qqm3" w:id="20"/>
      <w:bookmarkEnd w:id="20"/>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bookmarkStart w:colFirst="0" w:colLast="0" w:name="_1y810tw" w:id="21"/>
      <w:bookmarkEnd w:id="21"/>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4i7ojhp" w:id="22"/>
      <w:bookmarkEnd w:id="22"/>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A">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B">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36" w:firstLine="0"/>
        <w:jc w:val="left"/>
        <w:rPr>
          <w:rFonts w:ascii="Arial" w:cs="Arial" w:eastAsia="Arial" w:hAnsi="Arial"/>
          <w:color w:val="000000"/>
          <w:sz w:val="24"/>
          <w:szCs w:val="24"/>
        </w:rPr>
      </w:pPr>
      <w:bookmarkStart w:colFirst="0" w:colLast="0" w:name="_2xcytpi" w:id="23"/>
      <w:bookmarkEnd w:id="23"/>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leader="none" w:pos="1985"/>
          <w:tab w:val="left" w:leader="none" w:pos="1134"/>
        </w:tabs>
        <w:spacing w:after="120" w:before="120" w:line="240" w:lineRule="auto"/>
        <w:ind w:left="1656" w:hanging="720"/>
        <w:jc w:val="left"/>
        <w:rPr>
          <w:rFonts w:ascii="Arial" w:cs="Arial" w:eastAsia="Arial" w:hAnsi="Arial"/>
          <w:color w:val="000000"/>
          <w:sz w:val="24"/>
          <w:szCs w:val="24"/>
        </w:rPr>
      </w:pPr>
      <w:bookmarkStart w:colFirst="0" w:colLast="0" w:name="_1ci93xb" w:id="24"/>
      <w:bookmarkEnd w:id="24"/>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E">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F">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0">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91">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2">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3">
      <w:pPr>
        <w:numPr>
          <w:ilvl w:val="3"/>
          <w:numId w:val="2"/>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3whwml4" w:id="25"/>
      <w:bookmarkEnd w:id="25"/>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5">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bookmarkStart w:colFirst="0" w:colLast="0" w:name="_2bn6wsx" w:id="26"/>
      <w:bookmarkEnd w:id="26"/>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6">
      <w:pPr>
        <w:numPr>
          <w:ilvl w:val="3"/>
          <w:numId w:val="2"/>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qsh70q" w:id="27"/>
      <w:bookmarkEnd w:id="27"/>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bookmarkStart w:colFirst="0" w:colLast="0" w:name="_3as4poj" w:id="28"/>
      <w:bookmarkEnd w:id="28"/>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B">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C">
      <w:pPr>
        <w:numPr>
          <w:ilvl w:val="3"/>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D">
      <w:pPr>
        <w:numPr>
          <w:ilvl w:val="0"/>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Asset Management</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work together to ensure that there is appropriate IPR asset management under each Call-Off Contract, and:</w:t>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working on the Buyer’s System, the Supplier shall comply with the Buyer’s IPR asset management approach and procedures.</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where the Supplier is working on the Supplier’s System, the Buyer will ensure that it maintains its IPR asset management procedures in accordance with Good Industry Practice.</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Records and materials associated with IPR asset management shall form part of the Deliverables, including those relating to any Specially Written Software or New IPR.</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any instructions given by the Buyer as to where it shall store all work in progress Deliverables and finished Deliverables (including all Documentation and Source Code) during the term of the Call-Off Contract and at the stated intervals or frequency specified by the Buyer and upon termination of the Contract or any Statement of Work.</w:t>
      </w:r>
    </w:p>
    <w:p w:rsidR="00000000" w:rsidDel="00000000" w:rsidP="00000000" w:rsidRDefault="00000000" w:rsidRPr="00000000" w14:paraId="000000A3">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all items it uploads into any repository contain sufficient detail, code annotations and instructions so that a third-party developer (with the relevant technical abilities within the applicable role) would be able to understand how the item was created and how it works together with other items in the repository within a reasonable timeframe. </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maintain a register of all Open Source Software it has used in the provision of the Deliverables as part of its IPR asset management obligations under this Contract.</w:t>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Ref:RM6</w:t>
    </w:r>
    <w:r w:rsidDel="00000000" w:rsidR="00000000" w:rsidRPr="00000000">
      <w:rPr>
        <w:rFonts w:ascii="Arial" w:cs="Arial" w:eastAsia="Arial" w:hAnsi="Arial"/>
        <w:sz w:val="20"/>
        <w:szCs w:val="20"/>
        <w:rtl w:val="0"/>
      </w:rPr>
      <w:t xml:space="preserve">263</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6">
    <w:pPr>
      <w:tabs>
        <w:tab w:val="center" w:leader="none" w:pos="4513"/>
        <w:tab w:val="right" w:leader="none" w:pos="9026"/>
      </w:tabs>
      <w:spacing w:after="0"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A7">
    <w:pPr>
      <w:tabs>
        <w:tab w:val="center" w:leader="none" w:pos="4513"/>
        <w:tab w:val="right" w:leader="none" w:pos="9026"/>
      </w:tabs>
      <w:spacing w:after="0"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4"/>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